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缴纳会费会员单位及缴费标准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一、副理事长单位标准：10万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中国联通山西省分公司</w:t>
      </w:r>
    </w:p>
    <w:p>
      <w:pPr>
        <w:adjustRightInd w:val="0"/>
        <w:snapToGrid w:val="0"/>
        <w:spacing w:line="58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中国移动通信集团山西有限公司</w:t>
      </w:r>
    </w:p>
    <w:p>
      <w:pPr>
        <w:adjustRightInd w:val="0"/>
        <w:snapToGrid w:val="0"/>
        <w:spacing w:line="58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中国电信山西分公司</w:t>
      </w:r>
    </w:p>
    <w:p>
      <w:pPr>
        <w:adjustRightInd w:val="0"/>
        <w:snapToGrid w:val="0"/>
        <w:spacing w:line="58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中国铁塔山西省分公司</w:t>
      </w:r>
    </w:p>
    <w:p>
      <w:pPr>
        <w:adjustRightInd w:val="0"/>
        <w:snapToGrid w:val="0"/>
        <w:spacing w:line="580" w:lineRule="exact"/>
        <w:ind w:firstLine="63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中移建设山西分公司</w:t>
      </w:r>
    </w:p>
    <w:p>
      <w:pPr>
        <w:adjustRightInd w:val="0"/>
        <w:snapToGrid w:val="0"/>
        <w:spacing w:line="580" w:lineRule="exact"/>
        <w:ind w:firstLine="63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二、常务理事单位标准：3万</w:t>
      </w:r>
    </w:p>
    <w:p>
      <w:pPr>
        <w:adjustRightInd w:val="0"/>
        <w:snapToGrid w:val="0"/>
        <w:spacing w:line="580" w:lineRule="exact"/>
        <w:ind w:firstLine="63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山西省邮电建设工程有限公司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山西信息规划设计院有限公司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太原市通信实业有限公司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山西通信通达微波技术有限公司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山西晋通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邮电实业有限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三、理事单位标准：1万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中国联通山西省分公司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11个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地市分公司</w:t>
      </w:r>
    </w:p>
    <w:p>
      <w:pPr>
        <w:adjustRightInd w:val="0"/>
        <w:snapToGrid w:val="0"/>
        <w:spacing w:line="580" w:lineRule="exact"/>
        <w:ind w:firstLine="63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中国移动通信集团山西有限公司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11地市分公司</w:t>
      </w:r>
    </w:p>
    <w:p>
      <w:pPr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79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20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20" w:lineRule="exact"/>
        <w:rPr>
          <w:rFonts w:hint="default" w:ascii="Times New Roman" w:hAnsi="Times New Roman" w:cs="Times New Roman"/>
          <w:szCs w:val="32"/>
        </w:rPr>
      </w:pPr>
    </w:p>
    <w:p>
      <w:pPr>
        <w:snapToGrid w:val="0"/>
        <w:spacing w:line="520" w:lineRule="exact"/>
        <w:rPr>
          <w:rFonts w:hint="default" w:ascii="Times New Roman" w:hAnsi="Times New Roman" w:cs="Times New Roman"/>
          <w:szCs w:val="32"/>
        </w:rPr>
      </w:pP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F9E294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nhideWhenUsed/>
    <w:uiPriority w:val="99"/>
    <w:rPr/>
  </w:style>
  <w:style w:type="paragraph" w:customStyle="1" w:styleId="6">
    <w:name w:val="附件"/>
    <w:basedOn w:val="1"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2019-06-20T08:34:31Z</dcterms:created>
  <cp:lastModifiedBy>王甲文</cp:lastModifiedBy>
  <dcterms:modified xsi:type="dcterms:W3CDTF">2019-06-20T08:34:35Z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